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AI-KOMPETENS ENLIGT AI ACT – KRAV PÅ UTBILDNING FRÅN 2025</w:t>
      </w:r>
    </w:p>
    <w:p>
      <w:pPr>
        <w:jc w:val="center"/>
      </w:pPr>
      <w:r>
        <w:rPr>
          <w:color w:val="52627A"/>
          <w:sz w:val="20"/>
        </w:rPr>
        <w:t>Workshop- och utbildningsmall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"AI-kompetens enligt AI Act – krav på utbildning från 2025".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Ge ett färdigt upplägg för möte, workshop, utbildning eller intern förankring.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Syfte och målgrupp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Målgrupp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Syfte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Förkunskap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Förväntat resultat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Agenda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Tid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Moment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Instruktion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Material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Övningar och frågor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Övning/fråga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Deltagarnas 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Risk/insikt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 eller åtgärd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Hur verifieras det?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AI-kompetens enligt AI Act – krav på utbildning från 2025</dc:title>
  <dc:subject>Agenda, övningspaket, quiz/frågebank eller kommunikationsplan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