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OCH OKR: EXEMPEL PÅ MÅL FÖR FÖRETAG</w:t>
      </w:r>
    </w:p>
    <w:p>
      <w:pPr>
        <w:jc w:val="center"/>
      </w:pPr>
      <w:r>
        <w:rPr>
          <w:color w:val="52627A"/>
          <w:sz w:val="20"/>
        </w:rPr>
        <w:t>Use case- och prioriteringsmall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och OKR: exempel på mål för företag".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teamet att beskriva, prioritera och följa upp AI-idéer på ett beslutsbart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Use case canvas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1766"/>
        <w:gridCol w:w="1766"/>
        <w:gridCol w:w="1766"/>
        <w:gridCol w:w="1766"/>
        <w:gridCol w:w="1766"/>
        <w:gridCol w:w="1766"/>
      </w:tblGrid>
      <w:tr>
        <w:trPr>
          <w:cantSplit/>
          <w:tblHeader w:val="true"/>
        </w:trPr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Problem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AI-stöd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Databehov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Mänsklig granskning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Prioritering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Nytta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Genomförbarhet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Kostnad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Prioritet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Pilotplan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Hypotes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Testperiod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Mätetal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Stoppregel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Beslutspunkt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Resultat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Utfall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Lärdom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Rekommendation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och OKR: exempel på mål för företag</dc:title>
  <dc:subject>Use-case canvas, prioriteringsmatris, ROI-kalkyl eller portföljöversikt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