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OCH SEKRETESS: VAD FÅR MEDARBETARE SKRIVA IN?</w:t>
      </w:r>
    </w:p>
    <w:p>
      <w:pPr>
        <w:jc w:val="center"/>
      </w:pPr>
      <w:r>
        <w:rPr>
          <w:color w:val="52627A"/>
          <w:sz w:val="20"/>
        </w:rPr>
        <w:t>Risk- och kontrollmall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och sekretess: vad får medarbetare skriva in?".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organisationen att dokumentera risk, datatyp, ägare, åtgärder och uppföljning på ett spårbart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Snabb bedömning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Ja/Nej/Okänt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Riskklassning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Sannolikhet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Konsekvens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Motivering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Data- och behörighetskontroll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Datatyp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Tillåten användning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Begränsning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 miljö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Åtgärdsplan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Verifiering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5.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kontrollerades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 risknivå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och sekretess: vad får medarbetare skriva in?</dc:title>
  <dc:subject>Risk-/dataklassningsmatris, kontrollista eller incident-/DPIA-exempel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