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drawing>
          <wp:inline xmlns:a="http://schemas.openxmlformats.org/drawingml/2006/main" xmlns:pic="http://schemas.openxmlformats.org/drawingml/2006/picture">
            <wp:extent cx="1728000" cy="303292"/>
            <wp:docPr id="1" name="Picture 1"/>
            <wp:cNvGraphicFramePr>
              <a:graphicFrameLocks noChangeAspect="1"/>
            </wp:cNvGraphicFramePr>
            <a:graphic>
              <a:graphicData uri="http://schemas.openxmlformats.org/drawingml/2006/picture">
                <pic:pic>
                  <pic:nvPicPr>
                    <pic:cNvPr id="0" name="AIregistret-logo.png"/>
                    <pic:cNvPicPr/>
                  </pic:nvPicPr>
                  <pic:blipFill>
                    <a:blip r:embed="rId9"/>
                    <a:stretch>
                      <a:fillRect/>
                    </a:stretch>
                  </pic:blipFill>
                  <pic:spPr>
                    <a:xfrm>
                      <a:off x="0" y="0"/>
                      <a:ext cx="1728000" cy="303292"/>
                    </a:xfrm>
                    <a:prstGeom prst="rect"/>
                  </pic:spPr>
                </pic:pic>
              </a:graphicData>
            </a:graphic>
          </wp:inline>
        </w:drawing>
      </w:r>
    </w:p>
    <w:p>
      <w:pPr>
        <w:jc w:val="right"/>
      </w:pPr>
      <w:r>
        <w:rPr>
          <w:i/>
          <w:color w:val="52627A"/>
          <w:sz w:val="16"/>
        </w:rPr>
        <w:t>Byt gärna ut logotypen mot er egen innan mallen delas internt.</w:t>
      </w:r>
    </w:p>
    <w:p>
      <w:pPr>
        <w:jc w:val="center"/>
      </w:pPr>
      <w:r>
        <w:rPr>
          <w:b/>
          <w:color w:val="071427"/>
          <w:sz w:val="34"/>
        </w:rPr>
        <w:t>FÅR MAN LADDA UPP KUNDAVTAL TILL CHATGPT? JURIDIK OCH RISK</w:t>
      </w:r>
    </w:p>
    <w:p>
      <w:pPr>
        <w:jc w:val="center"/>
      </w:pPr>
      <w:r>
        <w:rPr>
          <w:color w:val="52627A"/>
          <w:sz w:val="20"/>
        </w:rPr>
        <w:t>Risk- och kontrollmall · redigerbar mall från AI-registret.se</w:t>
      </w:r>
    </w:p>
    <w:tbl>
      <w:tblPr>
        <w:tblW w:type="auto" w:w="0"/>
        <w:jc w:val="center"/>
        <w:tblLook w:firstColumn="1" w:firstRow="1" w:lastColumn="0" w:lastRow="0" w:noHBand="0" w:noVBand="1" w:val="04A0"/>
      </w:tblPr>
      <w:tblGrid>
        <w:gridCol w:w="10596"/>
      </w:tblGrid>
      <w:tr>
        <w:tc>
          <w:tcPr>
            <w:tcW w:type="dxa" w:w="10596"/>
            <w:shd w:fill="EAF6FB"/>
          </w:tcPr>
          <w:p>
            <w:pPr>
              <w:spacing w:after="30"/>
            </w:pPr>
            <w:r>
              <w:rPr>
                <w:rFonts w:ascii="Inter" w:hAnsi="Inter" w:eastAsia="Inter"/>
                <w:b/>
                <w:color w:val="074168"/>
                <w:sz w:val="18"/>
              </w:rPr>
              <w:t>Så används dokumentet</w:t>
              <w:br/>
            </w:r>
            <w:r>
              <w:rPr>
                <w:rFonts w:ascii="Inter" w:hAnsi="Inter" w:eastAsia="Inter"/>
                <w:sz w:val="17"/>
              </w:rPr>
              <w:t>Det här är en praktisk startmall kopplad till artikeln "Får man ladda upp kundavtal till ChatGPT? Juridik och risk". Anpassa fält, ansvar, risknivåer och formuleringar till er organisation innan dokumentet används skarpt. Mallen är inte juridisk rådgivning.</w:t>
            </w:r>
          </w:p>
        </w:tc>
      </w:tr>
    </w:tbl>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5298"/>
        <w:gridCol w:w="5298"/>
      </w:tblGrid>
      <w:tr>
        <w:trPr>
          <w:cantSplit/>
          <w:tblHeader w:val="true"/>
        </w:trPr>
        <w:tc>
          <w:tcPr>
            <w:tcW w:type="dxa" w:w="2835"/>
            <w:shd w:fill="0A192F"/>
          </w:tcPr>
          <w:p>
            <w:pPr>
              <w:keepLines/>
              <w:spacing w:after="30" w:line="240" w:lineRule="auto"/>
            </w:pPr>
            <w:r>
              <w:rPr>
                <w:rFonts w:ascii="Inter" w:hAnsi="Inter" w:eastAsia="Inter"/>
                <w:sz w:val="17"/>
              </w:rPr>
            </w:r>
            <w:r>
              <w:rPr>
                <w:rFonts w:ascii="Inter" w:hAnsi="Inter" w:eastAsia="Inter"/>
                <w:b/>
                <w:color w:val="FFFFFF"/>
                <w:sz w:val="17"/>
              </w:rPr>
              <w:t>Dokumentfält</w:t>
            </w:r>
          </w:p>
        </w:tc>
        <w:tc>
          <w:tcPr>
            <w:tcW w:type="dxa" w:w="6236"/>
            <w:shd w:fill="0A192F"/>
          </w:tcPr>
          <w:p>
            <w:pPr>
              <w:keepLines/>
              <w:spacing w:after="30" w:line="240" w:lineRule="auto"/>
            </w:pPr>
            <w:r>
              <w:rPr>
                <w:rFonts w:ascii="Inter" w:hAnsi="Inter" w:eastAsia="Inter"/>
                <w:sz w:val="17"/>
              </w:rPr>
            </w:r>
            <w:r>
              <w:rPr>
                <w:rFonts w:ascii="Inter" w:hAnsi="Inter" w:eastAsia="Inter"/>
                <w:b/>
                <w:color w:val="FFFFFF"/>
                <w:sz w:val="17"/>
              </w:rPr>
              <w:t>Fyll i</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Organisation / team</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Dokumentägare</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t>Namn, roll, kontakt</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Version</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t>1.0</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Datum</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Gäller för</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t>Roller, team, process eller use case</w:t>
            </w:r>
          </w:p>
        </w:tc>
      </w:tr>
      <w:tr>
        <w:trPr>
          <w:cantSplit/>
        </w:trPr>
        <w:tc>
          <w:tcPr>
            <w:tcW w:type="dxa" w:w="2835"/>
            <w:vAlign w:val="top"/>
          </w:tcPr>
          <w:p>
            <w:pPr>
              <w:keepLines/>
              <w:spacing w:after="30" w:line="240" w:lineRule="auto"/>
            </w:pPr>
            <w:r>
              <w:rPr>
                <w:rFonts w:ascii="Inter" w:hAnsi="Inter" w:eastAsia="Inter"/>
                <w:sz w:val="17"/>
              </w:rPr>
            </w:r>
            <w:r>
              <w:rPr>
                <w:rFonts w:ascii="Inter" w:hAnsi="Inter" w:eastAsia="Inter"/>
                <w:b w:val="0"/>
                <w:sz w:val="17"/>
              </w:rPr>
              <w:t>Nästa översyn</w:t>
            </w:r>
          </w:p>
        </w:tc>
        <w:tc>
          <w:tcPr>
            <w:tcW w:type="dxa" w:w="6236"/>
            <w:vAlign w:val="top"/>
          </w:tcPr>
          <w:p>
            <w:pPr>
              <w:keepLines/>
              <w:spacing w:after="30" w:line="240" w:lineRule="auto"/>
            </w:pPr>
            <w:r>
              <w:rPr>
                <w:rFonts w:ascii="Inter" w:hAnsi="Inter" w:eastAsia="Inter"/>
                <w:sz w:val="17"/>
              </w:rPr>
            </w:r>
            <w:r>
              <w:rPr>
                <w:rFonts w:ascii="Inter" w:hAnsi="Inter" w:eastAsia="Inter"/>
                <w:b w:val="0"/>
                <w:sz w:val="17"/>
              </w:rPr>
            </w:r>
          </w:p>
        </w:tc>
      </w:tr>
    </w:tbl>
    <w:p/>
    <w:tbl>
      <w:tblPr>
        <w:tblW w:type="auto" w:w="0"/>
        <w:jc w:val="center"/>
        <w:tblLook w:firstColumn="1" w:firstRow="1" w:lastColumn="0" w:lastRow="0" w:noHBand="0" w:noVBand="1" w:val="04A0"/>
      </w:tblPr>
      <w:tblGrid>
        <w:gridCol w:w="10596"/>
      </w:tblGrid>
      <w:tr>
        <w:tc>
          <w:tcPr>
            <w:tcW w:type="dxa" w:w="10596"/>
            <w:shd w:fill="F7FFFC"/>
          </w:tcPr>
          <w:p>
            <w:pPr>
              <w:spacing w:after="30"/>
            </w:pPr>
            <w:r>
              <w:rPr>
                <w:rFonts w:ascii="Inter" w:hAnsi="Inter" w:eastAsia="Inter"/>
                <w:b/>
                <w:color w:val="074168"/>
                <w:sz w:val="18"/>
              </w:rPr>
              <w:t>Syfte</w:t>
              <w:br/>
            </w:r>
            <w:r>
              <w:rPr>
                <w:rFonts w:ascii="Inter" w:hAnsi="Inter" w:eastAsia="Inter"/>
                <w:sz w:val="17"/>
              </w:rPr>
              <w:t>Hjälpa organisationen att dokumentera risk, datatyp, ägare, åtgärder och uppföljning på ett spårbart sätt.</w:t>
            </w:r>
          </w:p>
        </w:tc>
      </w:tr>
    </w:tbl>
    <w:p/>
    <w:p>
      <w:pPr>
        <w:pStyle w:val="Heading1"/>
        <w:keepNext/>
        <w:pageBreakBefore w:val="0"/>
        <w:spacing w:before="140" w:after="60"/>
      </w:pPr>
      <w:r>
        <w:rPr>
          <w:rFonts w:ascii="Inter" w:hAnsi="Inter" w:eastAsia="Inter"/>
          <w:color w:val="071427"/>
          <w:sz w:val="27"/>
        </w:rPr>
        <w:t>1. Snabb bedömning</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649"/>
        <w:gridCol w:w="2649"/>
        <w:gridCol w:w="2649"/>
        <w:gridCol w:w="2649"/>
      </w:tblGrid>
      <w:tr>
        <w:trPr>
          <w:cantSplit/>
          <w:tblHeader w:val="true"/>
        </w:trPr>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Fråga</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Ja/Nej/Okänt</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Kommentar</w:t>
            </w:r>
          </w:p>
        </w:tc>
        <w:tc>
          <w:tcPr>
            <w:tcW w:type="dxa" w:w="2649"/>
            <w:shd w:fill="0A192F"/>
          </w:tcPr>
          <w:p>
            <w:pPr>
              <w:keepLines/>
              <w:spacing w:after="30" w:line="240" w:lineRule="auto"/>
            </w:pPr>
            <w:r>
              <w:rPr>
                <w:rFonts w:ascii="Inter" w:hAnsi="Inter" w:eastAsia="Inter"/>
                <w:sz w:val="17"/>
              </w:rPr>
            </w:r>
            <w:r>
              <w:rPr>
                <w:rFonts w:ascii="Inter" w:hAnsi="Inter" w:eastAsia="Inter"/>
                <w:b/>
                <w:color w:val="FFFFFF"/>
                <w:sz w:val="17"/>
              </w:rPr>
              <w:t>Nästa steg</w:t>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649"/>
            <w:vAlign w:val="top"/>
          </w:tcPr>
          <w:p>
            <w:pPr>
              <w:keepLines/>
              <w:spacing w:after="30" w:line="240" w:lineRule="auto"/>
            </w:pPr>
            <w:r>
              <w:rPr>
                <w:rFonts w:ascii="Inter" w:hAnsi="Inter" w:eastAsia="Inter"/>
                <w:sz w:val="17"/>
              </w:rPr>
            </w:r>
            <w:r>
              <w:rPr>
                <w:rFonts w:ascii="Inter" w:hAnsi="Inter" w:eastAsia="Inter"/>
                <w:b w:val="0"/>
                <w:sz w:val="17"/>
              </w:rPr>
            </w:r>
          </w:p>
        </w:tc>
      </w:tr>
    </w:tbl>
    <w:p/>
    <w:p>
      <w:pPr>
        <w:pStyle w:val="Heading1"/>
        <w:keepNext/>
        <w:pageBreakBefore w:val="0"/>
        <w:spacing w:before="140" w:after="60"/>
      </w:pPr>
      <w:r>
        <w:rPr>
          <w:rFonts w:ascii="Inter" w:hAnsi="Inter" w:eastAsia="Inter"/>
          <w:color w:val="071427"/>
          <w:sz w:val="27"/>
        </w:rPr>
        <w:t>2. Riskklassning</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119"/>
        <w:gridCol w:w="2119"/>
        <w:gridCol w:w="2119"/>
        <w:gridCol w:w="2119"/>
        <w:gridCol w:w="2119"/>
      </w:tblGrid>
      <w:tr>
        <w:trPr>
          <w:cantSplit/>
          <w:tblHeader w:val="true"/>
        </w:trPr>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Riskområde</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Sannolikhet</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Konsekvens</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Nivå</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Motivering</w:t>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bl>
    <w:p/>
    <w:p>
      <w:pPr>
        <w:pStyle w:val="Heading1"/>
        <w:keepNext/>
        <w:pageBreakBefore w:val="0"/>
        <w:spacing w:before="140" w:after="60"/>
      </w:pPr>
      <w:r>
        <w:rPr>
          <w:rFonts w:ascii="Inter" w:hAnsi="Inter" w:eastAsia="Inter"/>
          <w:color w:val="071427"/>
          <w:sz w:val="27"/>
        </w:rPr>
        <w:t>3. Data- och behörighetskontroll</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119"/>
        <w:gridCol w:w="2119"/>
        <w:gridCol w:w="2119"/>
        <w:gridCol w:w="2119"/>
        <w:gridCol w:w="2119"/>
      </w:tblGrid>
      <w:tr>
        <w:trPr>
          <w:cantSplit/>
          <w:tblHeader w:val="true"/>
        </w:trPr>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Datatyp</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Tillåten användning</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Begränsning</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Godkänd miljö</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Ägare</w:t>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bl>
    <w:p/>
    <w:p>
      <w:pPr>
        <w:pStyle w:val="Heading1"/>
        <w:keepNext/>
        <w:pageBreakBefore w:val="0"/>
        <w:spacing w:before="140" w:after="60"/>
      </w:pPr>
      <w:r>
        <w:rPr>
          <w:rFonts w:ascii="Inter" w:hAnsi="Inter" w:eastAsia="Inter"/>
          <w:color w:val="071427"/>
          <w:sz w:val="27"/>
        </w:rPr>
        <w:t>4. Åtgärdsplan</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119"/>
        <w:gridCol w:w="2119"/>
        <w:gridCol w:w="2119"/>
        <w:gridCol w:w="2119"/>
        <w:gridCol w:w="2119"/>
      </w:tblGrid>
      <w:tr>
        <w:trPr>
          <w:cantSplit/>
          <w:tblHeader w:val="true"/>
        </w:trPr>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Åtgärd</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Ansvarig</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Deadline</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Status</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Verifiering</w:t>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t>☐ Ej startad ☐ Pågår ☐ Klar</w:t>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bl>
    <w:p/>
    <w:p>
      <w:pPr>
        <w:pStyle w:val="Heading1"/>
        <w:keepNext/>
        <w:pageBreakBefore w:val="0"/>
        <w:spacing w:before="140" w:after="60"/>
      </w:pPr>
      <w:r>
        <w:rPr>
          <w:rFonts w:ascii="Inter" w:hAnsi="Inter" w:eastAsia="Inter"/>
          <w:color w:val="071427"/>
          <w:sz w:val="27"/>
        </w:rPr>
        <w:t>5. Uppföljning</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2119"/>
        <w:gridCol w:w="2119"/>
        <w:gridCol w:w="2119"/>
        <w:gridCol w:w="2119"/>
        <w:gridCol w:w="2119"/>
      </w:tblGrid>
      <w:tr>
        <w:trPr>
          <w:cantSplit/>
          <w:tblHeader w:val="true"/>
        </w:trPr>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Datum</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Vad kontrollerades</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Resultat</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Ny risknivå</w:t>
            </w:r>
          </w:p>
        </w:tc>
        <w:tc>
          <w:tcPr>
            <w:tcW w:type="dxa" w:w="2119"/>
            <w:shd w:fill="0A192F"/>
          </w:tcPr>
          <w:p>
            <w:pPr>
              <w:keepLines/>
              <w:spacing w:after="30" w:line="240" w:lineRule="auto"/>
            </w:pPr>
            <w:r>
              <w:rPr>
                <w:rFonts w:ascii="Inter" w:hAnsi="Inter" w:eastAsia="Inter"/>
                <w:sz w:val="17"/>
              </w:rPr>
            </w:r>
            <w:r>
              <w:rPr>
                <w:rFonts w:ascii="Inter" w:hAnsi="Inter" w:eastAsia="Inter"/>
                <w:b/>
                <w:color w:val="FFFFFF"/>
                <w:sz w:val="17"/>
              </w:rPr>
              <w:t>Beslut</w:t>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r>
        <w:trPr>
          <w:cantSplit/>
        </w:trPr>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c>
          <w:tcPr>
            <w:tcW w:type="dxa" w:w="2119"/>
            <w:vAlign w:val="top"/>
          </w:tcPr>
          <w:p>
            <w:pPr>
              <w:keepLines/>
              <w:spacing w:after="30" w:line="240" w:lineRule="auto"/>
            </w:pPr>
            <w:r>
              <w:rPr>
                <w:rFonts w:ascii="Inter" w:hAnsi="Inter" w:eastAsia="Inter"/>
                <w:sz w:val="17"/>
              </w:rPr>
            </w:r>
            <w:r>
              <w:rPr>
                <w:rFonts w:ascii="Inter" w:hAnsi="Inter" w:eastAsia="Inter"/>
                <w:b w:val="0"/>
                <w:sz w:val="17"/>
              </w:rPr>
            </w:r>
          </w:p>
        </w:tc>
      </w:tr>
    </w:tbl>
    <w:p/>
    <w:p>
      <w:pPr>
        <w:pStyle w:val="Heading1"/>
        <w:keepNext/>
      </w:pPr>
      <w:r>
        <w:t>Exempel på ifylld rad</w:t>
      </w:r>
    </w:p>
    <w:tbl>
      <w:tblPr>
        <w:tblStyle w:val="TableGrid"/>
        <w:tblW w:type="auto" w:w="0"/>
        <w:jc w:val="center"/>
        <w:tblLayout w:type="autofit"/>
        <w:tblLook w:firstColumn="1" w:firstRow="1" w:lastColumn="0" w:lastRow="0" w:noHBand="0" w:noVBand="1" w:val="04A0"/>
        <w:tblCellMar>
          <w:top w:w="55" w:type="dxa"/>
          <w:start w:w="70" w:type="dxa"/>
          <w:bottom w:w="55" w:type="dxa"/>
          <w:end w:w="70" w:type="dxa"/>
        </w:tblCellMar>
      </w:tblPr>
      <w:tblGrid>
        <w:gridCol w:w="3532"/>
        <w:gridCol w:w="3532"/>
        <w:gridCol w:w="3532"/>
      </w:tblGrid>
      <w:tr>
        <w:trPr>
          <w:cantSplit/>
          <w:tblHeader w:val="true"/>
        </w:trPr>
        <w:tc>
          <w:tcPr>
            <w:tcW w:type="dxa" w:w="2268"/>
            <w:shd w:fill="0A192F"/>
          </w:tcPr>
          <w:p>
            <w:pPr>
              <w:keepLines/>
              <w:spacing w:after="30" w:line="240" w:lineRule="auto"/>
            </w:pPr>
            <w:r>
              <w:rPr>
                <w:rFonts w:ascii="Inter" w:hAnsi="Inter" w:eastAsia="Inter"/>
                <w:sz w:val="17"/>
              </w:rPr>
            </w:r>
            <w:r>
              <w:rPr>
                <w:rFonts w:ascii="Inter" w:hAnsi="Inter" w:eastAsia="Inter"/>
                <w:b/>
                <w:color w:val="FFFFFF"/>
                <w:sz w:val="17"/>
              </w:rPr>
              <w:t>Fält</w:t>
            </w:r>
          </w:p>
        </w:tc>
        <w:tc>
          <w:tcPr>
            <w:tcW w:type="dxa" w:w="3402"/>
            <w:shd w:fill="0A192F"/>
          </w:tcPr>
          <w:p>
            <w:pPr>
              <w:keepLines/>
              <w:spacing w:after="30" w:line="240" w:lineRule="auto"/>
            </w:pPr>
            <w:r>
              <w:rPr>
                <w:rFonts w:ascii="Inter" w:hAnsi="Inter" w:eastAsia="Inter"/>
                <w:sz w:val="17"/>
              </w:rPr>
            </w:r>
            <w:r>
              <w:rPr>
                <w:rFonts w:ascii="Inter" w:hAnsi="Inter" w:eastAsia="Inter"/>
                <w:b/>
                <w:color w:val="FFFFFF"/>
                <w:sz w:val="17"/>
              </w:rPr>
              <w:t>Exempel</w:t>
            </w:r>
          </w:p>
        </w:tc>
        <w:tc>
          <w:tcPr>
            <w:tcW w:type="dxa" w:w="3402"/>
            <w:shd w:fill="0A192F"/>
          </w:tcPr>
          <w:p>
            <w:pPr>
              <w:keepLines/>
              <w:spacing w:after="30" w:line="240" w:lineRule="auto"/>
            </w:pPr>
            <w:r>
              <w:rPr>
                <w:rFonts w:ascii="Inter" w:hAnsi="Inter" w:eastAsia="Inter"/>
                <w:sz w:val="17"/>
              </w:rPr>
            </w:r>
            <w:r>
              <w:rPr>
                <w:rFonts w:ascii="Inter" w:hAnsi="Inter" w:eastAsia="Inter"/>
                <w:b/>
                <w:color w:val="FFFFFF"/>
                <w:sz w:val="17"/>
              </w:rPr>
              <w:t>Kommentar</w:t>
            </w:r>
          </w:p>
        </w:tc>
      </w:tr>
      <w:tr>
        <w:trPr>
          <w:cantSplit/>
        </w:trPr>
        <w:tc>
          <w:tcPr>
            <w:tcW w:type="dxa" w:w="2268"/>
            <w:vAlign w:val="top"/>
          </w:tcPr>
          <w:p>
            <w:pPr>
              <w:keepLines/>
              <w:spacing w:after="30" w:line="240" w:lineRule="auto"/>
            </w:pPr>
            <w:r>
              <w:rPr>
                <w:rFonts w:ascii="Inter" w:hAnsi="Inter" w:eastAsia="Inter"/>
                <w:sz w:val="17"/>
              </w:rPr>
            </w:r>
            <w:r>
              <w:rPr>
                <w:rFonts w:ascii="Inter" w:hAnsi="Inter" w:eastAsia="Inter"/>
                <w:b w:val="0"/>
                <w:sz w:val="17"/>
              </w:rPr>
              <w:t>Ägare</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AI-ansvarig tillsammans med processägare</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Ska vara en namngiven roll, inte bara ett team.</w:t>
            </w:r>
          </w:p>
        </w:tc>
      </w:tr>
      <w:tr>
        <w:trPr>
          <w:cantSplit/>
        </w:trPr>
        <w:tc>
          <w:tcPr>
            <w:tcW w:type="dxa" w:w="2268"/>
            <w:vAlign w:val="top"/>
          </w:tcPr>
          <w:p>
            <w:pPr>
              <w:keepLines/>
              <w:spacing w:after="30" w:line="240" w:lineRule="auto"/>
            </w:pPr>
            <w:r>
              <w:rPr>
                <w:rFonts w:ascii="Inter" w:hAnsi="Inter" w:eastAsia="Inter"/>
                <w:sz w:val="17"/>
              </w:rPr>
            </w:r>
            <w:r>
              <w:rPr>
                <w:rFonts w:ascii="Inter" w:hAnsi="Inter" w:eastAsia="Inter"/>
                <w:b w:val="0"/>
                <w:sz w:val="17"/>
              </w:rPr>
              <w:t>Risk</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Medel – personuppgifter kan förekomma</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Risknivån ska kunna motiveras.</w:t>
            </w:r>
          </w:p>
        </w:tc>
      </w:tr>
      <w:tr>
        <w:trPr>
          <w:cantSplit/>
        </w:trPr>
        <w:tc>
          <w:tcPr>
            <w:tcW w:type="dxa" w:w="2268"/>
            <w:vAlign w:val="top"/>
          </w:tcPr>
          <w:p>
            <w:pPr>
              <w:keepLines/>
              <w:spacing w:after="30" w:line="240" w:lineRule="auto"/>
            </w:pPr>
            <w:r>
              <w:rPr>
                <w:rFonts w:ascii="Inter" w:hAnsi="Inter" w:eastAsia="Inter"/>
                <w:sz w:val="17"/>
              </w:rPr>
            </w:r>
            <w:r>
              <w:rPr>
                <w:rFonts w:ascii="Inter" w:hAnsi="Inter" w:eastAsia="Inter"/>
                <w:b w:val="0"/>
                <w:sz w:val="17"/>
              </w:rPr>
              <w:t>Åtgärd</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Inför mänsklig granskning före extern användning</w:t>
            </w:r>
          </w:p>
        </w:tc>
        <w:tc>
          <w:tcPr>
            <w:tcW w:type="dxa" w:w="3402"/>
            <w:vAlign w:val="top"/>
          </w:tcPr>
          <w:p>
            <w:pPr>
              <w:keepLines/>
              <w:spacing w:after="30" w:line="240" w:lineRule="auto"/>
            </w:pPr>
            <w:r>
              <w:rPr>
                <w:rFonts w:ascii="Inter" w:hAnsi="Inter" w:eastAsia="Inter"/>
                <w:sz w:val="17"/>
              </w:rPr>
            </w:r>
            <w:r>
              <w:rPr>
                <w:rFonts w:ascii="Inter" w:hAnsi="Inter" w:eastAsia="Inter"/>
                <w:b w:val="0"/>
                <w:sz w:val="17"/>
              </w:rPr>
              <w:t>Koppla till deadline och ansvarig.</w:t>
            </w:r>
          </w:p>
        </w:tc>
      </w:tr>
    </w:tbl>
    <w:p/>
    <w:sectPr w:rsidR="00FC693F" w:rsidRPr="0006063C" w:rsidSect="00034616">
      <w:footerReference w:type="default" r:id="rId10"/>
      <w:pgSz w:w="12240" w:h="15840"/>
      <w:pgMar w:top="765" w:right="822" w:bottom="709" w:left="82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2627A"/>
        <w:sz w:val="16"/>
      </w:rPr>
      <w:t>AI-registret.se • redigerbar mall • version 1.0 • logotypen är utbytbar</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Inter" w:hAnsi="Inter" w:eastAsia="Inter"/>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Får man ladda upp kundavtal till ChatGPT? Juridik och risk</dc:title>
  <dc:subject>Risk-/dataklassningsmatris, kontrollista eller incident-/DPIA-exempel</dc:subject>
  <dc:creator>AI-registret.se</dc:creator>
  <cp:keywords/>
  <dc:description>Redigerbar Word-mall med kompakt sidflöde, utbytbar logotyp och tabellrader som inte delas över sidor.</dc:description>
  <cp:lastModifiedBy/>
  <cp:revision>1</cp:revision>
  <dcterms:created xsi:type="dcterms:W3CDTF">2013-12-23T23:15:00Z</dcterms:created>
  <dcterms:modified xsi:type="dcterms:W3CDTF">2013-12-23T23:15:00Z</dcterms:modified>
  <cp:category/>
</cp:coreProperties>
</file>