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 w:val="0"/>
        <w:pageBreakBefore w:val="0"/>
        <w:spacing w:before="0" w:after="60" w:line="247" w:lineRule="auto"/>
        <w:jc w:val="right"/>
      </w:pPr>
      <w:r>
        <w:rPr>
          <w:rFonts w:ascii="Inter" w:hAnsi="Inter" w:eastAsia="Inter"/>
          <w:sz w:val="18"/>
        </w:rPr>
        <w:drawing>
          <wp:inline xmlns:a="http://schemas.openxmlformats.org/drawingml/2006/main" xmlns:pic="http://schemas.openxmlformats.org/drawingml/2006/picture">
            <wp:extent cx="1800000" cy="3159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159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 w:val="0"/>
        <w:pageBreakBefore w:val="0"/>
        <w:spacing w:before="0" w:after="100" w:line="247" w:lineRule="auto"/>
        <w:jc w:val="right"/>
      </w:pPr>
      <w:r>
        <w:rPr>
          <w:rFonts w:ascii="Inter" w:hAnsi="Inter" w:eastAsia="Inter"/>
          <w:i/>
          <w:color w:val="52627A"/>
          <w:sz w:val="16"/>
        </w:rPr>
        <w:t>Byt gärna ut logotypen mot er egen innan mallen delas internt.</w:t>
      </w:r>
    </w:p>
    <w:p>
      <w:pPr>
        <w:keepLines w:val="0"/>
        <w:pageBreakBefore w:val="0"/>
        <w:spacing w:before="120" w:after="60" w:line="247" w:lineRule="auto"/>
        <w:jc w:val="center"/>
      </w:pPr>
      <w:r>
        <w:rPr>
          <w:rFonts w:ascii="Inter" w:hAnsi="Inter" w:eastAsia="Inter"/>
          <w:b/>
          <w:color w:val="071427"/>
          <w:sz w:val="36"/>
        </w:rPr>
        <w:t>MALL FÖR AI-INCIDENTRAPPORTERING</w:t>
      </w:r>
    </w:p>
    <w:p>
      <w:pPr>
        <w:keepLines w:val="0"/>
        <w:pageBreakBefore w:val="0"/>
        <w:spacing w:before="0" w:after="60" w:line="247" w:lineRule="auto"/>
        <w:jc w:val="center"/>
      </w:pPr>
      <w:r>
        <w:rPr>
          <w:rFonts w:ascii="Inter" w:hAnsi="Inter" w:eastAsia="Inter"/>
          <w:color w:val="52627A"/>
          <w:sz w:val="22"/>
        </w:rPr>
        <w:t>Dokumentera, bedöm, eskalera och följ upp incidenter där AI-verktyg, AI-genererat innehåll, prompts, data eller automatiserade arbetsflöden kan ha påverkat verksamheten.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0312"/>
      </w:tblGrid>
      <w:tr>
        <w:trPr>
          <w:tblHeader w:val="true"/>
          <w:cantSplit/>
        </w:trPr>
        <w:tc>
          <w:tcPr>
            <w:tcW w:type="dxa" w:w="10312"/>
            <w:shd w:fill="EAF6FB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b/>
                <w:color w:val="074168"/>
                <w:sz w:val="17"/>
              </w:rPr>
              <w:t>Så används mallen</w:t>
              <w:br/>
            </w:r>
            <w:r>
              <w:rPr>
                <w:rFonts w:ascii="Inter" w:hAnsi="Inter" w:eastAsia="Inter"/>
                <w:sz w:val="17"/>
              </w:rPr>
              <w:t>Fyll i direkt när en AI-relaterad händelse upptäcks. Spara en kopia per incident. Mallen kompletterar er ordinarie incidentprocess, IT-säkerhetsprocess, GDPR-rutin och eventuella krav från kunder, branschregler eller myndigheter. Den är inte juridisk rådgivning.</w:t>
            </w:r>
          </w:p>
        </w:tc>
      </w:tr>
    </w:tbl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156"/>
        <w:gridCol w:w="5156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Incident-ID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AI-INC-ÅÅÅÅ-XXX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enhet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Rapport upprättad av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 och tid för upptäckt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 och tid då händelsen kan ha börjat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Nuvarande status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Ny  ☐ Under triage  ☐ Eskalerad  ☐ Innesluten  ☐ Avslutad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Ansvarig incidentägare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Sekretessnivå för rapporten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Intern  ☐ Begränsad  ☐ Konfidentiell  ☐ Juridiskt känslig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1. Snabb triage – första 30 minuterna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437"/>
        <w:gridCol w:w="3437"/>
        <w:gridCol w:w="3437"/>
      </w:tblGrid>
      <w:tr>
        <w:trPr>
          <w:tblHeader w:val="true"/>
          <w:cantSplit/>
        </w:trPr>
        <w:tc>
          <w:tcPr>
            <w:tcW w:type="dxa" w:w="3402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Kontrollpunkt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3969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 / åtgärd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Pågår händelsen fortfarande?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Om ja: pausa berört AI-flöde, verktyg, integration eller användning.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Kan personuppgifter ha exponerats, laddats upp eller använts fel?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Om ja/okänt: involvera dataskyddsansvarig/DPO omedelbart.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Kan kunddata, affärshemligheter, källkod, ritningar, prisdata eller avtal ha berörts?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Säkra bevis innan något raderas.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Har AI-genererat innehåll skickats till kund, kandidat, leverantör, patient, medlem eller myndighet?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Notera mottagare, kanal och eventuell korrigering.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Finns risk för felaktigt beslut, diskriminering, vilseledande information eller säkerhetspåverkan?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Eskalera till verksamhetsägare och juridik/compliance vid behov.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Behöver leverantör kontaktas eller loggar begäras?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Kontrollera avtal, supportväg och databehandlingsvillkor.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2. Incidentklassning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578"/>
        <w:gridCol w:w="2578"/>
        <w:gridCol w:w="2578"/>
        <w:gridCol w:w="2578"/>
      </w:tblGrid>
      <w:tr>
        <w:trPr>
          <w:tblHeader w:val="true"/>
          <w:cantSplit/>
        </w:trPr>
        <w:tc>
          <w:tcPr>
            <w:tcW w:type="dxa" w:w="1304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66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den används</w:t>
            </w:r>
          </w:p>
        </w:tc>
        <w:tc>
          <w:tcPr>
            <w:tcW w:type="dxa" w:w="2608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2494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Första eskalering</w:t>
            </w:r>
          </w:p>
        </w:tc>
      </w:tr>
      <w:tr>
        <w:trPr>
          <w:cantSplit/>
        </w:trPr>
        <w:tc>
          <w:tcPr>
            <w:tcW w:type="dxa" w:w="130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P1 – Kritisk</w:t>
            </w:r>
          </w:p>
        </w:tc>
        <w:tc>
          <w:tcPr>
            <w:tcW w:type="dxa" w:w="266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Stor påverkan, pågående exponering, känsliga uppgifter eller extern skada.</w:t>
            </w:r>
          </w:p>
        </w:tc>
        <w:tc>
          <w:tcPr>
            <w:tcW w:type="dxa" w:w="260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Kunddata uppladdad i otillåtet AI-verktyg; AI-svar orsakar juridisk/säkerhetskritisk felinformation.</w:t>
            </w:r>
          </w:p>
        </w:tc>
        <w:tc>
          <w:tcPr>
            <w:tcW w:type="dxa" w:w="249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Ledning, IT-säkerhet, DPO/dataskydd, juridik, kommunikation.</w:t>
            </w:r>
          </w:p>
        </w:tc>
      </w:tr>
      <w:tr>
        <w:trPr>
          <w:cantSplit/>
        </w:trPr>
        <w:tc>
          <w:tcPr>
            <w:tcW w:type="dxa" w:w="130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P2 – Hög</w:t>
            </w:r>
          </w:p>
        </w:tc>
        <w:tc>
          <w:tcPr>
            <w:tcW w:type="dxa" w:w="266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Tydlig risk men begränsad omfattning eller snabb inneslutning möjlig.</w:t>
            </w:r>
          </w:p>
        </w:tc>
        <w:tc>
          <w:tcPr>
            <w:tcW w:type="dxa" w:w="260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Fel AI-sammanfattning skickad till kund; prompt med personuppgifter i fel miljö.</w:t>
            </w:r>
          </w:p>
        </w:tc>
        <w:tc>
          <w:tcPr>
            <w:tcW w:type="dxa" w:w="249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Incidentägare, dataskydd, system-/processägare.</w:t>
            </w:r>
          </w:p>
        </w:tc>
      </w:tr>
      <w:tr>
        <w:trPr>
          <w:cantSplit/>
        </w:trPr>
        <w:tc>
          <w:tcPr>
            <w:tcW w:type="dxa" w:w="130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P3 – Medel</w:t>
            </w:r>
          </w:p>
        </w:tc>
        <w:tc>
          <w:tcPr>
            <w:tcW w:type="dxa" w:w="266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Intern påverkan, policyavvikelse eller kvalitetsproblem utan känd extern skada.</w:t>
            </w:r>
          </w:p>
        </w:tc>
        <w:tc>
          <w:tcPr>
            <w:tcW w:type="dxa" w:w="260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Medarbetare använder ej godkänt verktyg för intern text; hallucinerad analys upptäcks före användning.</w:t>
            </w:r>
          </w:p>
        </w:tc>
        <w:tc>
          <w:tcPr>
            <w:tcW w:type="dxa" w:w="249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Chef, AI-ansvarig, processägare.</w:t>
            </w:r>
          </w:p>
        </w:tc>
      </w:tr>
      <w:tr>
        <w:trPr>
          <w:cantSplit/>
        </w:trPr>
        <w:tc>
          <w:tcPr>
            <w:tcW w:type="dxa" w:w="130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P4 – Låg / nära ögat</w:t>
            </w:r>
          </w:p>
        </w:tc>
        <w:tc>
          <w:tcPr>
            <w:tcW w:type="dxa" w:w="266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Avvikelse eller riskobservation som inte blev incident men ska ge lärande.</w:t>
            </w:r>
          </w:p>
        </w:tc>
        <w:tc>
          <w:tcPr>
            <w:tcW w:type="dxa" w:w="260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Testprompt innehöll för mycket intern kontext men stoppades före delning.</w:t>
            </w:r>
          </w:p>
        </w:tc>
        <w:tc>
          <w:tcPr>
            <w:tcW w:type="dxa" w:w="249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eller teamledare.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3. Vad hände?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156"/>
        <w:gridCol w:w="5156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6236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Kort sammanfattning av händelsen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Var upptäcktes händelsen?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System, kanal, team, kundärende, dokument, chatt, integration etc.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Vilka personer/roller var involverade?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Rapportör, användare, granskare, mottagare, systemägare.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Vilket AI-verktyg eller modell användes?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version, leverantör, konto/tenant, integration, eventuell agent/automation.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Var användningen godkänd enligt policy?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Oklart. Förklara.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Vilket arbetsflöde eller use case berördes?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AI-register om möjligt.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Vad borde ha hänt?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Beskriv förväntat arbetssätt, kontroll, godkännande eller datagräns.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Vad hände i stället?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Beskriv konkret avvikelse utan värderingar.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4. AI-specifika bevis att säkra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0312"/>
      </w:tblGrid>
      <w:tr>
        <w:trPr>
          <w:tblHeader w:val="true"/>
          <w:cantSplit/>
        </w:trPr>
        <w:tc>
          <w:tcPr>
            <w:tcW w:type="dxa" w:w="10312"/>
            <w:shd w:fill="FFF7E6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b/>
                <w:color w:val="074168"/>
                <w:sz w:val="17"/>
              </w:rPr>
              <w:t>Viktigt</w:t>
              <w:br/>
            </w:r>
            <w:r>
              <w:rPr>
                <w:rFonts w:ascii="Inter" w:hAnsi="Inter" w:eastAsia="Inter"/>
                <w:sz w:val="17"/>
              </w:rPr>
              <w:t>Säkra relevanta loggar, prompts, filer och AI-svar innan något raderas eller skrivs över. Kopiera inte in känsliga personuppgifter i denna mall om rapporten delas brett; använd referenser, ärendenummer eller bilagor med rätt behörighet.</w:t>
            </w:r>
          </w:p>
        </w:tc>
      </w:tr>
    </w:tbl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437"/>
        <w:gridCol w:w="3437"/>
        <w:gridCol w:w="3437"/>
      </w:tblGrid>
      <w:tr>
        <w:trPr>
          <w:tblHeader w:val="true"/>
          <w:cantSplit/>
        </w:trPr>
        <w:tc>
          <w:tcPr>
            <w:tcW w:type="dxa" w:w="3402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 / spår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Säkrat?</w:t>
            </w:r>
          </w:p>
        </w:tc>
        <w:tc>
          <w:tcPr>
            <w:tcW w:type="dxa" w:w="3969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Plats / länk / ansvarig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Promptar eller instruktioner som användes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Uppladdade filer, bilder, kalkyler eller dokument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AI-genererade svar, sammanfattningar, beslut eller rekommendationer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Systemloggar, audit logs, integrationsloggar eller chattloggar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Skärmdumpar eller exporter med tidstämpel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Leverantörens incident-/supportärende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Koppling till AI-registerpost / use case-ID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5. Data- och regelefterlevnadsbedömning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437"/>
        <w:gridCol w:w="3437"/>
        <w:gridCol w:w="3437"/>
      </w:tblGrid>
      <w:tr>
        <w:trPr>
          <w:tblHeader w:val="true"/>
          <w:cantSplit/>
        </w:trPr>
        <w:tc>
          <w:tcPr>
            <w:tcW w:type="dxa" w:w="3402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 / riskområde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Berört?</w:t>
            </w:r>
          </w:p>
        </w:tc>
        <w:tc>
          <w:tcPr>
            <w:tcW w:type="dxa" w:w="3969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Personuppgifter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Typ av uppgift, antal personer, registrerade kategorier.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Känsliga personuppgifter eller sekretessreglerad information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Ex. hälsa, fack, biometrik, skyddade uppgifter, elev-/patient-/klientdata.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Kunddata eller avtal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Kund, kontrakt, supportärende, leveransinfo.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Affärshemligheter, prisdata, ritningar, källkod eller produktinformation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Beskriv typ och eventuell konkurrensrisk.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 Act-relaterad risk eller transparenskrav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Ex. beslutspåverkan, HR, utbildning, kredit, säkerhet eller kundinformation.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Kund-/avtalskrav på rapportering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Kontrollera DPA, säkerhetsbilaga, SLA, upphandlingskrav.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Myndighetsrapportering kan bli aktuell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Okänt</w:t>
            </w:r>
          </w:p>
        </w:tc>
        <w:tc>
          <w:tcPr>
            <w:tcW w:type="dxa" w:w="3969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Ex. IMY/GDPR, NIS2-tillsyn, sektorskrav.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6. Omedelbara åtgärder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578"/>
        <w:gridCol w:w="2578"/>
        <w:gridCol w:w="2578"/>
        <w:gridCol w:w="2578"/>
      </w:tblGrid>
      <w:tr>
        <w:trPr>
          <w:tblHeader w:val="true"/>
          <w:cantSplit/>
        </w:trPr>
        <w:tc>
          <w:tcPr>
            <w:tcW w:type="dxa" w:w="3402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1417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268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Pausa eller begränsa berört AI-verktyg, agent, integration eller arbetsflöde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Stoppa vidare spridning av felaktigt AI-innehåll eller återkalla/korrigera svar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Säkra loggar, prompts och berörda filer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Bedöm personuppgiftsincident och starta eventuell 72-timmarsklocka enligt GDPR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Kontakta AI-leverantör eller IT-partner vid behov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Informera berörd chef, processägare och dataskydd/informationssäkerhet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7. Eskalering och kommunikation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578"/>
        <w:gridCol w:w="2578"/>
        <w:gridCol w:w="2578"/>
        <w:gridCol w:w="2578"/>
      </w:tblGrid>
      <w:tr>
        <w:trPr>
          <w:tblHeader w:val="true"/>
          <w:cantSplit/>
        </w:trPr>
        <w:tc>
          <w:tcPr>
            <w:tcW w:type="dxa" w:w="2268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Mottagare / funktion</w:t>
            </w:r>
          </w:p>
        </w:tc>
        <w:tc>
          <w:tcPr>
            <w:tcW w:type="dxa" w:w="3402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de informeras?</w:t>
            </w:r>
          </w:p>
        </w:tc>
        <w:tc>
          <w:tcPr>
            <w:tcW w:type="dxa" w:w="1417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Informerad?</w:t>
            </w:r>
          </w:p>
        </w:tc>
        <w:tc>
          <w:tcPr>
            <w:tcW w:type="dxa" w:w="1984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Närmaste chef / verksamhetsägare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P2–P4 eller påverkan på arbetsflöde.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IT / informationssäkerhet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verktyg, loggar, konto, integration, åtkomst eller säkerhetsrisk.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Dataskyddsansvarig / DPO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personuppgifter eller oklar databehandling.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Juridik / compliance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avtal, kundkrav, myndighetsrisk, diskriminering eller extern skada.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HR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medarbetarfrågor, rekrytering, arbetsmiljö, policybrott eller utbildningsbehov.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Kommunikation / kundansvarig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kundpåverkan, extern information eller korrigering.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Ledning</w:t>
            </w:r>
          </w:p>
        </w:tc>
        <w:tc>
          <w:tcPr>
            <w:tcW w:type="dxa" w:w="3402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Vid P1, större P2, offentlig risk eller strategisk påverkan.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</w:t>
            </w:r>
          </w:p>
        </w:tc>
        <w:tc>
          <w:tcPr>
            <w:tcW w:type="dxa" w:w="1984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8. Orsaksanalys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156"/>
        <w:gridCol w:w="5156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6236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Primär orsak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Policy saknades ☐ Policy följdes inte ☐ Verktygsinställning ☐ Bristande utbildning ☐ Fel i integration/agent ☐ Leverantör ☐ Granskning saknades ☐ Annat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Var fanns kontrollen som borde ha fångat detta?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Varför fungerade inte kontrollen?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Vilka antaganden var fel?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Ex. att data var anonym, att verktyget inte tränar på data, att mänsklig granskning skedde.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Finns liknande risk i andra team eller use cases?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9. Korrigerande och förebyggande åtgärder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062"/>
        <w:gridCol w:w="2062"/>
        <w:gridCol w:w="2062"/>
        <w:gridCol w:w="2062"/>
        <w:gridCol w:w="2062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Typ</w:t>
            </w:r>
          </w:p>
        </w:tc>
        <w:tc>
          <w:tcPr>
            <w:tcW w:type="dxa" w:w="1417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417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1701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Uppdatera AI-registerposten med incident, risknivå och lärdom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Uppdatera AI-policy/riktlinjer/stoppregler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Förtydliga dataklassning och exempel på otillåten inmatning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Justera behörigheter, verktygsinställningar eller leverantörsavtal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extra mänsklig granskning eller godkännande före användning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Genomför riktad utbildning eller kommunikation till berört team</w:t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Korrigerande ☐ Förebyggande</w:t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417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01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10. Avslut och lärande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156"/>
        <w:gridCol w:w="5156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Avslutsfråga</w:t>
            </w:r>
          </w:p>
        </w:tc>
        <w:tc>
          <w:tcPr>
            <w:tcW w:type="dxa" w:w="6236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Är incidenten innesluten?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Nej. Om nej: vad återstår?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Är eventuell extern/kundintern kommunikation klar?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Är eventuell myndighets-/avtalsrapportering bedömd?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Är AI-register, policy och utbildningsmaterial uppdaterade?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Ja ☐ Nej ☐ Ej relevant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Vilken är den viktigaste lärdomen?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När ska åtgärder följas upp?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 och ansvarig.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Beslut om avslut fattat av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datum.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p>
      <w:pPr>
        <w:pStyle w:val="Heading1"/>
        <w:keepNext/>
        <w:keepLines w:val="0"/>
        <w:pageBreakBefore w:val="0"/>
        <w:spacing w:before="140" w:after="60" w:line="240" w:lineRule="auto"/>
      </w:pPr>
      <w:r>
        <w:rPr>
          <w:rFonts w:ascii="Inter" w:hAnsi="Inter" w:eastAsia="Inter"/>
          <w:color w:val="071427"/>
          <w:sz w:val="18"/>
        </w:rPr>
        <w:t>Bilaga A – exempel på ifylld kortversion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156"/>
        <w:gridCol w:w="5156"/>
      </w:tblGrid>
      <w:tr>
        <w:trPr>
          <w:tblHeader w:val="true"/>
          <w:cantSplit/>
        </w:trPr>
        <w:tc>
          <w:tcPr>
            <w:tcW w:type="dxa" w:w="2835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6236"/>
            <w:shd w:fill="0A192F"/>
            <w:vAlign w:val="center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Sammanfattning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En medarbetare klistrade in kundmejl med personuppgifter i ett ej godkänt AI-verktyg för att skapa svarsförslag. Inga svar skickades externt innan händelsen upptäcktes.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Klassning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P2 – hög, eftersom personuppgifter kan ha behandlats i fel miljö.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Omedelbar åtgärd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Verktyget blockerades temporärt, prompt och svar säkrades, DPO och IT informerades, teamet fick ny instruktion.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Lärdom</w:t>
            </w:r>
          </w:p>
        </w:tc>
        <w:tc>
          <w:tcPr>
            <w:tcW w:type="dxa" w:w="6236"/>
            <w:vAlign w:val="top"/>
          </w:tcPr>
          <w:p>
            <w:pPr>
              <w:keepNext w:val="0"/>
              <w:keepLines/>
              <w:pageBreakBefore w:val="0"/>
              <w:spacing w:before="0"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Policy fanns men saknade konkreta exempel på kundmejl. Dataklassning och onboarding uppdateras.</w:t>
            </w:r>
          </w:p>
        </w:tc>
      </w:tr>
    </w:tbl>
    <w:p>
      <w:pPr>
        <w:keepLines w:val="0"/>
        <w:pageBreakBefore w:val="0"/>
        <w:spacing w:before="0" w:after="60" w:line="247" w:lineRule="auto"/>
      </w:pPr>
    </w:p>
    <w:sectPr w:rsidR="00FC693F" w:rsidRPr="0006063C" w:rsidSect="00034616">
      <w:footerReference w:type="default" r:id="rId9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Mall för AI-incidentrapportering • version 1.2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071427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07142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nter" w:hAnsi="Inter" w:eastAsia="Inter"/>
      <w:b/>
      <w:bCs/>
      <w:color w:val="07142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AI-incidentrapportering</dc:title>
  <dc:subject>Nedladdningsbar och redigerbar Word-mall för AI-relaterade incidenter</dc:subject>
  <dc:creator>AI-registret.se</dc:creator>
  <cp:keywords>AI-incident, incidentrapport, AI-policy, AI-register, GDPR, informationssäkerhet</cp:keywords>
  <dc:description>Version 1.2: kompaktare sidflöde utan tvingade sidbrytningar; rubriker hålls med efterföljande innehåll och tabellrader delas inte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