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SÅ RÄKNAR DU PÅ FRIGJORD TID MED AI</w:t>
      </w:r>
    </w:p>
    <w:p>
      <w:pPr>
        <w:jc w:val="center"/>
      </w:pPr>
      <w:r>
        <w:rPr>
          <w:color w:val="52627A"/>
          <w:sz w:val="20"/>
        </w:rPr>
        <w:t>Use case- och prioriteringsmall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"Så räknar du på frigjord tid med AI".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Hjälpa teamet att beskriva, prioritera och följa upp AI-idéer på ett beslutsbart sätt.</w:t>
            </w:r>
          </w:p>
        </w:tc>
      </w:tr>
    </w:tbl>
    <w:p/>
    <w:p>
      <w:pPr>
        <w:pStyle w:val="Heading1"/>
        <w:keepNext/>
        <w:pageBreakBefore w:val="0"/>
        <w:spacing w:before="140" w:after="60"/>
      </w:pPr>
      <w:r>
        <w:rPr>
          <w:rFonts w:ascii="Inter" w:hAnsi="Inter" w:eastAsia="Inter"/>
          <w:color w:val="071427"/>
          <w:sz w:val="27"/>
        </w:rPr>
        <w:t>1. Use case canvas</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1766"/>
        <w:gridCol w:w="1766"/>
        <w:gridCol w:w="1766"/>
        <w:gridCol w:w="1766"/>
        <w:gridCol w:w="1766"/>
        <w:gridCol w:w="1766"/>
      </w:tblGrid>
      <w:tr>
        <w:trPr>
          <w:cantSplit/>
          <w:tblHeader w:val="true"/>
        </w:trPr>
        <w:tc>
          <w:tcPr>
            <w:tcW w:type="dxa" w:w="1766"/>
            <w:shd w:fill="0A192F"/>
          </w:tcPr>
          <w:p>
            <w:pPr>
              <w:keepLines/>
              <w:spacing w:after="30" w:line="240" w:lineRule="auto"/>
            </w:pPr>
            <w:r>
              <w:rPr>
                <w:rFonts w:ascii="Inter" w:hAnsi="Inter" w:eastAsia="Inter"/>
                <w:sz w:val="17"/>
              </w:rPr>
            </w:r>
            <w:r>
              <w:rPr>
                <w:rFonts w:ascii="Inter" w:hAnsi="Inter" w:eastAsia="Inter"/>
                <w:b/>
                <w:color w:val="FFFFFF"/>
                <w:sz w:val="17"/>
              </w:rPr>
              <w:t>Problem</w:t>
            </w:r>
          </w:p>
        </w:tc>
        <w:tc>
          <w:tcPr>
            <w:tcW w:type="dxa" w:w="1766"/>
            <w:shd w:fill="0A192F"/>
          </w:tcPr>
          <w:p>
            <w:pPr>
              <w:keepLines/>
              <w:spacing w:after="30" w:line="240" w:lineRule="auto"/>
            </w:pPr>
            <w:r>
              <w:rPr>
                <w:rFonts w:ascii="Inter" w:hAnsi="Inter" w:eastAsia="Inter"/>
                <w:sz w:val="17"/>
              </w:rPr>
            </w:r>
            <w:r>
              <w:rPr>
                <w:rFonts w:ascii="Inter" w:hAnsi="Inter" w:eastAsia="Inter"/>
                <w:b/>
                <w:color w:val="FFFFFF"/>
                <w:sz w:val="17"/>
              </w:rPr>
              <w:t>Målgrupp</w:t>
            </w:r>
          </w:p>
        </w:tc>
        <w:tc>
          <w:tcPr>
            <w:tcW w:type="dxa" w:w="1766"/>
            <w:shd w:fill="0A192F"/>
          </w:tcPr>
          <w:p>
            <w:pPr>
              <w:keepLines/>
              <w:spacing w:after="30" w:line="240" w:lineRule="auto"/>
            </w:pPr>
            <w:r>
              <w:rPr>
                <w:rFonts w:ascii="Inter" w:hAnsi="Inter" w:eastAsia="Inter"/>
                <w:sz w:val="17"/>
              </w:rPr>
            </w:r>
            <w:r>
              <w:rPr>
                <w:rFonts w:ascii="Inter" w:hAnsi="Inter" w:eastAsia="Inter"/>
                <w:b/>
                <w:color w:val="FFFFFF"/>
                <w:sz w:val="17"/>
              </w:rPr>
              <w:t>AI-stöd</w:t>
            </w:r>
          </w:p>
        </w:tc>
        <w:tc>
          <w:tcPr>
            <w:tcW w:type="dxa" w:w="1766"/>
            <w:shd w:fill="0A192F"/>
          </w:tcPr>
          <w:p>
            <w:pPr>
              <w:keepLines/>
              <w:spacing w:after="30" w:line="240" w:lineRule="auto"/>
            </w:pPr>
            <w:r>
              <w:rPr>
                <w:rFonts w:ascii="Inter" w:hAnsi="Inter" w:eastAsia="Inter"/>
                <w:sz w:val="17"/>
              </w:rPr>
            </w:r>
            <w:r>
              <w:rPr>
                <w:rFonts w:ascii="Inter" w:hAnsi="Inter" w:eastAsia="Inter"/>
                <w:b/>
                <w:color w:val="FFFFFF"/>
                <w:sz w:val="17"/>
              </w:rPr>
              <w:t>Databehov</w:t>
            </w:r>
          </w:p>
        </w:tc>
        <w:tc>
          <w:tcPr>
            <w:tcW w:type="dxa" w:w="1766"/>
            <w:shd w:fill="0A192F"/>
          </w:tcPr>
          <w:p>
            <w:pPr>
              <w:keepLines/>
              <w:spacing w:after="30" w:line="240" w:lineRule="auto"/>
            </w:pPr>
            <w:r>
              <w:rPr>
                <w:rFonts w:ascii="Inter" w:hAnsi="Inter" w:eastAsia="Inter"/>
                <w:sz w:val="17"/>
              </w:rPr>
            </w:r>
            <w:r>
              <w:rPr>
                <w:rFonts w:ascii="Inter" w:hAnsi="Inter" w:eastAsia="Inter"/>
                <w:b/>
                <w:color w:val="FFFFFF"/>
                <w:sz w:val="17"/>
              </w:rPr>
              <w:t>Mänsklig granskning</w:t>
            </w:r>
          </w:p>
        </w:tc>
        <w:tc>
          <w:tcPr>
            <w:tcW w:type="dxa" w:w="1766"/>
            <w:shd w:fill="0A192F"/>
          </w:tcPr>
          <w:p>
            <w:pPr>
              <w:keepLines/>
              <w:spacing w:after="30" w:line="240" w:lineRule="auto"/>
            </w:pPr>
            <w:r>
              <w:rPr>
                <w:rFonts w:ascii="Inter" w:hAnsi="Inter" w:eastAsia="Inter"/>
                <w:sz w:val="17"/>
              </w:rPr>
            </w:r>
            <w:r>
              <w:rPr>
                <w:rFonts w:ascii="Inter" w:hAnsi="Inter" w:eastAsia="Inter"/>
                <w:b/>
                <w:color w:val="FFFFFF"/>
                <w:sz w:val="17"/>
              </w:rPr>
              <w:t>Ägare</w:t>
            </w:r>
          </w:p>
        </w:tc>
      </w:tr>
      <w:tr>
        <w:trPr>
          <w:cantSplit/>
        </w:trPr>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c>
          <w:tcPr>
            <w:tcW w:type="dxa" w:w="1766"/>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Prioritering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Nytta</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Genomförbarhet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Risk</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Kostnad</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Prioritet</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3. Pilotplan</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Hypotes</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Testperiod</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Mätetal</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Stoppregel</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Beslutspunkt</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Resultat</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Utfall</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Lärdom</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Rekommendation</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Nästa steg</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Så räknar du på frigjord tid med AI</dc:title>
  <dc:subject>Use-case canvas, prioriteringsmatris, ROI-kalkyl eller portföljöversikt</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